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B93D" w14:textId="77777777" w:rsidR="00A619FC" w:rsidRPr="008F2841" w:rsidRDefault="00A619FC" w:rsidP="008F2841">
      <w:pPr>
        <w:pStyle w:val="SOPLevel1"/>
        <w:numPr>
          <w:ilvl w:val="0"/>
          <w:numId w:val="0"/>
        </w:numPr>
        <w:spacing w:before="120" w:after="120"/>
      </w:pPr>
      <w:r w:rsidRPr="008F2841">
        <w:t>PURPOSE</w:t>
      </w:r>
    </w:p>
    <w:p w14:paraId="0B362990" w14:textId="77777777" w:rsidR="00A619FC" w:rsidRPr="00850C2D" w:rsidRDefault="00A619FC" w:rsidP="008F2841">
      <w:pPr>
        <w:pStyle w:val="SOPLevel2"/>
      </w:pPr>
      <w:r w:rsidRPr="008F2841">
        <w:t xml:space="preserve">This procedure establishes the process for someone other than the convened IRB to institute a </w:t>
      </w:r>
      <w:r w:rsidRPr="008F2841">
        <w:rPr>
          <w:u w:val="double"/>
        </w:rPr>
        <w:t xml:space="preserve">Suspension of </w:t>
      </w:r>
      <w:r w:rsidRPr="00850C2D">
        <w:rPr>
          <w:u w:val="double"/>
        </w:rPr>
        <w:t>IRB Approval</w:t>
      </w:r>
      <w:r w:rsidRPr="00850C2D">
        <w:t xml:space="preserve"> or a </w:t>
      </w:r>
      <w:r w:rsidRPr="00850C2D">
        <w:rPr>
          <w:u w:val="double"/>
        </w:rPr>
        <w:t>Termination of IRB Approval</w:t>
      </w:r>
      <w:r w:rsidRPr="00850C2D">
        <w:t>.</w:t>
      </w:r>
    </w:p>
    <w:p w14:paraId="37E528F8" w14:textId="4B4D53EF" w:rsidR="00A619FC" w:rsidRPr="008F2841" w:rsidRDefault="00A619FC" w:rsidP="008F2841">
      <w:pPr>
        <w:pStyle w:val="SOPLevel2"/>
      </w:pPr>
      <w:r w:rsidRPr="00850C2D">
        <w:t xml:space="preserve">The process begins when the </w:t>
      </w:r>
      <w:r w:rsidR="00C442CB" w:rsidRPr="00850C2D">
        <w:rPr>
          <w:u w:val="double"/>
        </w:rPr>
        <w:t>Institutional Official</w:t>
      </w:r>
      <w:r w:rsidR="00094B78" w:rsidRPr="00850C2D">
        <w:rPr>
          <w:u w:val="double"/>
        </w:rPr>
        <w:t xml:space="preserve"> (</w:t>
      </w:r>
      <w:r w:rsidR="00F45F12" w:rsidRPr="00850C2D">
        <w:rPr>
          <w:u w:val="double"/>
        </w:rPr>
        <w:t>IO)</w:t>
      </w:r>
      <w:r w:rsidR="00740B14" w:rsidRPr="00850C2D">
        <w:rPr>
          <w:u w:val="double"/>
        </w:rPr>
        <w:t>, the</w:t>
      </w:r>
      <w:r w:rsidR="00740B14" w:rsidRPr="6807ED4A">
        <w:rPr>
          <w:u w:val="double"/>
        </w:rPr>
        <w:t xml:space="preserve"> IRB Chair,</w:t>
      </w:r>
      <w:r>
        <w:t xml:space="preserve"> or designee</w:t>
      </w:r>
      <w:r w:rsidR="54C64429">
        <w:t xml:space="preserve">, or the </w:t>
      </w:r>
      <w:r w:rsidR="65662300">
        <w:t>C</w:t>
      </w:r>
      <w:r w:rsidR="54C64429">
        <w:t>onvened IRB,</w:t>
      </w:r>
      <w:r>
        <w:t xml:space="preserve"> institutes a </w:t>
      </w:r>
      <w:r w:rsidRPr="6807ED4A">
        <w:rPr>
          <w:u w:val="double"/>
        </w:rPr>
        <w:t>Suspension of IRB Approval</w:t>
      </w:r>
      <w:r>
        <w:t xml:space="preserve"> or </w:t>
      </w:r>
      <w:r w:rsidR="00CF5D7B">
        <w:t xml:space="preserve">the IO or </w:t>
      </w:r>
      <w:r w:rsidR="3E17CC4C">
        <w:t>C</w:t>
      </w:r>
      <w:r w:rsidR="00CF5D7B">
        <w:t xml:space="preserve">onvened IRB institutes </w:t>
      </w:r>
      <w:r>
        <w:t xml:space="preserve">a </w:t>
      </w:r>
      <w:r w:rsidRPr="6807ED4A">
        <w:rPr>
          <w:u w:val="double"/>
        </w:rPr>
        <w:t>Termination of IRB Approval</w:t>
      </w:r>
      <w:r w:rsidR="6A7D5C22" w:rsidRPr="6807ED4A">
        <w:rPr>
          <w:u w:val="double"/>
        </w:rPr>
        <w:t xml:space="preserve"> (see HRP-041 for consistency in process)</w:t>
      </w:r>
      <w:r>
        <w:t>.</w:t>
      </w:r>
    </w:p>
    <w:p w14:paraId="6D6179A6" w14:textId="008CBFA8" w:rsidR="00A619FC" w:rsidRPr="008F2841" w:rsidRDefault="00A619FC" w:rsidP="008F2841">
      <w:pPr>
        <w:pStyle w:val="SOPLevel2"/>
      </w:pPr>
      <w:r w:rsidRPr="008F2841">
        <w:t xml:space="preserve">The process ends when the </w:t>
      </w:r>
      <w:r w:rsidR="00CF5D7B">
        <w:t xml:space="preserve">written notice of a </w:t>
      </w:r>
      <w:r w:rsidRPr="008F2841">
        <w:rPr>
          <w:u w:val="double"/>
        </w:rPr>
        <w:t>Suspension of IRB Approval</w:t>
      </w:r>
      <w:r w:rsidRPr="008F2841">
        <w:t xml:space="preserve"> or a </w:t>
      </w:r>
      <w:r w:rsidRPr="008F2841">
        <w:rPr>
          <w:u w:val="double"/>
        </w:rPr>
        <w:t>Termination of IRB Approval</w:t>
      </w:r>
      <w:r w:rsidRPr="008F2841" w:rsidDel="00CA6CED">
        <w:t xml:space="preserve"> </w:t>
      </w:r>
      <w:r w:rsidRPr="008F2841">
        <w:t xml:space="preserve">has </w:t>
      </w:r>
      <w:r w:rsidR="00CF5D7B">
        <w:t>sent to the Principal Investigator (PI)</w:t>
      </w:r>
      <w:r w:rsidRPr="008F2841">
        <w:t>.</w:t>
      </w:r>
    </w:p>
    <w:p w14:paraId="4F84C10D" w14:textId="77777777" w:rsidR="00A619FC" w:rsidRPr="008F2841" w:rsidRDefault="00A619FC" w:rsidP="008F2841">
      <w:pPr>
        <w:pStyle w:val="SOPLevel1"/>
        <w:spacing w:before="120" w:after="120"/>
      </w:pPr>
      <w:r w:rsidRPr="008F2841">
        <w:t>REVISIONS FROM PREVIOUS VERSION</w:t>
      </w:r>
    </w:p>
    <w:p w14:paraId="32EEF15B" w14:textId="77777777" w:rsidR="00A619FC" w:rsidRPr="008F2841" w:rsidRDefault="00A619FC" w:rsidP="008F2841">
      <w:pPr>
        <w:pStyle w:val="SOPLevel2"/>
      </w:pPr>
      <w:r w:rsidRPr="008F2841">
        <w:t>None.</w:t>
      </w:r>
    </w:p>
    <w:p w14:paraId="13ADFD8A" w14:textId="77777777" w:rsidR="00A619FC" w:rsidRPr="008F2841" w:rsidRDefault="00A619FC" w:rsidP="008F2841">
      <w:pPr>
        <w:pStyle w:val="SOPLevel1"/>
        <w:spacing w:before="120" w:after="120"/>
      </w:pPr>
      <w:r w:rsidRPr="008F2841">
        <w:t>POLICY</w:t>
      </w:r>
    </w:p>
    <w:p w14:paraId="14E44391" w14:textId="78B3A4BF" w:rsidR="00A619FC" w:rsidRPr="008F2841" w:rsidRDefault="00412400" w:rsidP="008F2841">
      <w:pPr>
        <w:pStyle w:val="SOPLevel2"/>
      </w:pPr>
      <w:r>
        <w:t xml:space="preserve">The IRB </w:t>
      </w:r>
      <w:r w:rsidR="003D0BF6">
        <w:t>C</w:t>
      </w:r>
      <w:r>
        <w:t>hair,</w:t>
      </w:r>
      <w:r w:rsidR="00B47942">
        <w:t xml:space="preserve"> IO or designee</w:t>
      </w:r>
      <w:r>
        <w:t xml:space="preserve"> </w:t>
      </w:r>
      <w:r w:rsidR="00A619FC">
        <w:t xml:space="preserve">may institute a </w:t>
      </w:r>
      <w:r w:rsidR="00A619FC" w:rsidRPr="3A341E10">
        <w:rPr>
          <w:u w:val="double"/>
        </w:rPr>
        <w:t>Suspension of IRB Approval</w:t>
      </w:r>
      <w:r w:rsidR="00A619FC">
        <w:t xml:space="preserve"> when </w:t>
      </w:r>
      <w:r w:rsidR="00B47942">
        <w:t>s</w:t>
      </w:r>
      <w:r w:rsidR="00A619FC">
        <w:t>ubjects may be at risk of adverse effects o</w:t>
      </w:r>
      <w:r w:rsidR="00F45F12">
        <w:t>f</w:t>
      </w:r>
      <w:r w:rsidR="00A619FC">
        <w:t xml:space="preserve"> their rights and welfare before action may be considered by the convened IRB.</w:t>
      </w:r>
    </w:p>
    <w:p w14:paraId="1400E081" w14:textId="38ACC032" w:rsidR="00A619FC" w:rsidRDefault="00A619FC" w:rsidP="008F2841">
      <w:pPr>
        <w:pStyle w:val="SOPLevel2"/>
      </w:pPr>
      <w:r w:rsidRPr="008F2841">
        <w:t>The</w:t>
      </w:r>
      <w:r w:rsidR="00094B78" w:rsidRPr="008F2841">
        <w:rPr>
          <w:u w:val="double"/>
        </w:rPr>
        <w:t xml:space="preserve"> </w:t>
      </w:r>
      <w:r w:rsidR="00740B14">
        <w:rPr>
          <w:u w:val="double"/>
        </w:rPr>
        <w:t xml:space="preserve">IRB Chair, </w:t>
      </w:r>
      <w:r w:rsidR="00412400" w:rsidRPr="008F2841">
        <w:rPr>
          <w:u w:val="double"/>
        </w:rPr>
        <w:t>IO</w:t>
      </w:r>
      <w:r w:rsidR="00740B14">
        <w:rPr>
          <w:u w:val="double"/>
        </w:rPr>
        <w:t xml:space="preserve">, </w:t>
      </w:r>
      <w:r w:rsidRPr="008F2841">
        <w:t xml:space="preserve">or designee may institute a </w:t>
      </w:r>
      <w:r w:rsidRPr="008F2841">
        <w:rPr>
          <w:u w:val="double"/>
        </w:rPr>
        <w:t>Suspension of IRB Approval</w:t>
      </w:r>
      <w:r w:rsidRPr="008F2841">
        <w:t xml:space="preserve"> </w:t>
      </w:r>
      <w:r w:rsidR="00CF5D7B">
        <w:rPr>
          <w:u w:val="double"/>
        </w:rPr>
        <w:t>when there is reason to believe that the research may not be conducted in compliance with IRB requirements, federal regulations, state or local laws or Rutgers policies and/or SOPs applicable to human subjects research and an opportunity to conduct an investigation to confirm compliance is appropriate, or</w:t>
      </w:r>
      <w:r w:rsidR="00CF5D7B">
        <w:t xml:space="preserve"> </w:t>
      </w:r>
      <w:r w:rsidRPr="008F2841">
        <w:t>for any reason</w:t>
      </w:r>
      <w:r w:rsidR="00CF5D7B">
        <w:t xml:space="preserve"> that may warrant a pause in the conduct of the research study</w:t>
      </w:r>
      <w:r w:rsidRPr="008F2841">
        <w:t>.</w:t>
      </w:r>
    </w:p>
    <w:p w14:paraId="6C4A2AA6" w14:textId="4C33FC2E" w:rsidR="00CF5D7B" w:rsidRPr="008F2841" w:rsidRDefault="00CF5D7B" w:rsidP="008F2841">
      <w:pPr>
        <w:pStyle w:val="SOPLevel2"/>
      </w:pPr>
      <w:r>
        <w:t>The Convened IRB (e.g., Executive IRB Committee) may terminate a study when</w:t>
      </w:r>
      <w:r w:rsidR="56E2E6ED">
        <w:t xml:space="preserve">ever it determines that the risk benefit ratio for subjects is not </w:t>
      </w:r>
      <w:r w:rsidR="28459941">
        <w:t>appropriate,</w:t>
      </w:r>
      <w:r w:rsidR="56E2E6ED">
        <w:t xml:space="preserve"> or the safety and wel</w:t>
      </w:r>
      <w:r w:rsidR="587EB74E">
        <w:t xml:space="preserve">lbeing of subjects can no longer be </w:t>
      </w:r>
      <w:r w:rsidR="528AC69C">
        <w:t>ensured,</w:t>
      </w:r>
      <w:r w:rsidR="587EB74E">
        <w:t xml:space="preserve"> or the integrity of the study has been jeopardized</w:t>
      </w:r>
      <w:r w:rsidR="3B9B4B53">
        <w:t xml:space="preserve"> to the extent that any of these concerns cannot be resolved. </w:t>
      </w:r>
    </w:p>
    <w:p w14:paraId="00B16BA4" w14:textId="735AD98D" w:rsidR="00A619FC" w:rsidRPr="008F2841" w:rsidRDefault="6138F1F2" w:rsidP="008F2841">
      <w:pPr>
        <w:pStyle w:val="SOPLevel2"/>
      </w:pPr>
      <w:r>
        <w:t>T</w:t>
      </w:r>
      <w:r w:rsidR="00A619FC">
        <w:t xml:space="preserve">he individual following these procedures communicates with </w:t>
      </w:r>
      <w:r w:rsidR="00743463">
        <w:t>the PI</w:t>
      </w:r>
      <w:r w:rsidR="00A619FC">
        <w:t xml:space="preserve"> in writing</w:t>
      </w:r>
      <w:r w:rsidR="27AE2666">
        <w:t xml:space="preserve"> </w:t>
      </w:r>
      <w:r w:rsidR="06E8F6C8">
        <w:t>and whenever possible orally.</w:t>
      </w:r>
    </w:p>
    <w:p w14:paraId="317B1D97" w14:textId="77777777" w:rsidR="00A619FC" w:rsidRPr="008F2841" w:rsidRDefault="00A619FC" w:rsidP="008F2841">
      <w:pPr>
        <w:pStyle w:val="SOPLevel1"/>
        <w:spacing w:before="120" w:after="120"/>
      </w:pPr>
      <w:r w:rsidRPr="008F2841">
        <w:t>RESPONSIBILITIES</w:t>
      </w:r>
    </w:p>
    <w:p w14:paraId="5B2AE75F" w14:textId="77777777" w:rsidR="00A619FC" w:rsidRPr="008F2841" w:rsidRDefault="00A619FC" w:rsidP="008F2841">
      <w:pPr>
        <w:pStyle w:val="SOPLevel2"/>
      </w:pPr>
      <w:r w:rsidRPr="008F2841">
        <w:t xml:space="preserve">The individual instituting a </w:t>
      </w:r>
      <w:r w:rsidRPr="008F2841">
        <w:rPr>
          <w:u w:val="double"/>
        </w:rPr>
        <w:t>Suspension of IRB Approval</w:t>
      </w:r>
      <w:r w:rsidRPr="008F2841">
        <w:t xml:space="preserve"> or </w:t>
      </w:r>
      <w:r w:rsidRPr="008F2841">
        <w:rPr>
          <w:u w:val="double"/>
        </w:rPr>
        <w:t>Termination of IRB Approval</w:t>
      </w:r>
      <w:r w:rsidRPr="008F2841">
        <w:t xml:space="preserve"> follows these procedures.</w:t>
      </w:r>
    </w:p>
    <w:p w14:paraId="17FB11BA" w14:textId="77777777" w:rsidR="00A619FC" w:rsidRPr="008F2841" w:rsidRDefault="00A619FC" w:rsidP="008F2841">
      <w:pPr>
        <w:pStyle w:val="SOPLevel1"/>
        <w:spacing w:before="120" w:after="120"/>
      </w:pPr>
      <w:r w:rsidRPr="008F2841">
        <w:t>PROCEDURE</w:t>
      </w:r>
    </w:p>
    <w:p w14:paraId="7B53393C" w14:textId="67FCAD1F" w:rsidR="00743463" w:rsidRDefault="423E261B" w:rsidP="008F2841">
      <w:pPr>
        <w:pStyle w:val="SOPLevel2"/>
      </w:pPr>
      <w:r>
        <w:t xml:space="preserve">Upon receipt of any </w:t>
      </w:r>
      <w:r w:rsidR="60357DE5">
        <w:t>i</w:t>
      </w:r>
      <w:r w:rsidR="6807ED4A">
        <w:t>nformation  that raises concern regarding the conduct of the study and/or safety and welfare of the subjects</w:t>
      </w:r>
      <w:r w:rsidR="1873CCB3">
        <w:t>,</w:t>
      </w:r>
      <w:r w:rsidR="4D06772A">
        <w:t xml:space="preserve"> </w:t>
      </w:r>
      <w:r w:rsidR="27105C23">
        <w:t>t</w:t>
      </w:r>
      <w:r w:rsidR="6807ED4A">
        <w:t xml:space="preserve">he person/s authorized to </w:t>
      </w:r>
      <w:r w:rsidR="6807ED4A" w:rsidRPr="6807ED4A">
        <w:rPr>
          <w:u w:val="double"/>
        </w:rPr>
        <w:t xml:space="preserve"> </w:t>
      </w:r>
      <w:r w:rsidR="650744B2" w:rsidRPr="6807ED4A">
        <w:rPr>
          <w:u w:val="double"/>
        </w:rPr>
        <w:t xml:space="preserve">suspend or terminate </w:t>
      </w:r>
      <w:r w:rsidR="6F953DB8">
        <w:t xml:space="preserve">the study will </w:t>
      </w:r>
      <w:r w:rsidR="6807ED4A">
        <w:t xml:space="preserve">review </w:t>
      </w:r>
      <w:r w:rsidR="236A12B3">
        <w:t xml:space="preserve">the information </w:t>
      </w:r>
      <w:r w:rsidR="6807ED4A">
        <w:t xml:space="preserve">and consult as necessary to make </w:t>
      </w:r>
      <w:r w:rsidR="7726F09D">
        <w:t xml:space="preserve">the appropriate </w:t>
      </w:r>
      <w:proofErr w:type="spellStart"/>
      <w:r w:rsidR="6807ED4A">
        <w:t>decision.</w:t>
      </w:r>
      <w:r w:rsidR="00743463">
        <w:t>At</w:t>
      </w:r>
      <w:proofErr w:type="spellEnd"/>
      <w:r w:rsidR="00743463">
        <w:t xml:space="preserve"> a minimum, there should be an oral communication with the PI to discuss</w:t>
      </w:r>
      <w:r w:rsidR="00A619FC">
        <w:t xml:space="preserve"> whether any actions are required to protect those </w:t>
      </w:r>
      <w:r w:rsidR="004D0CCC">
        <w:t xml:space="preserve">enrolled </w:t>
      </w:r>
      <w:r w:rsidR="00A619FC">
        <w:t>subjects’ rights and welfare or to eliminate an apparent immediate hazard.</w:t>
      </w:r>
      <w:r w:rsidR="00740B14">
        <w:t xml:space="preserve"> Every effort will be made to reduce risks or harm to </w:t>
      </w:r>
      <w:r w:rsidR="004D0CCC">
        <w:t xml:space="preserve">enrolled </w:t>
      </w:r>
      <w:r w:rsidR="00740B14">
        <w:t>subjects or others resulting from suspension or termination of IRB approval.</w:t>
      </w:r>
      <w:r w:rsidR="00743463">
        <w:t xml:space="preserve">  </w:t>
      </w:r>
    </w:p>
    <w:p w14:paraId="15CFD1B8" w14:textId="6398E342" w:rsidR="00A619FC" w:rsidRPr="008F2841" w:rsidRDefault="00743463" w:rsidP="00850C2D">
      <w:pPr>
        <w:pStyle w:val="SOPLevel3"/>
      </w:pPr>
      <w:r>
        <w:t xml:space="preserve">The discussion should the implications of a suspension or termination of IRB approval with respect to the well-being of subjects and the integrity of the study and how a suspension or termination should be implemented and communicated to subjects so to minimize any negative impact to subjects. </w:t>
      </w:r>
    </w:p>
    <w:p w14:paraId="60AD4932" w14:textId="2E9C5C67" w:rsidR="00A619FC" w:rsidRPr="008F2841" w:rsidRDefault="00A619FC" w:rsidP="008F2841">
      <w:pPr>
        <w:pStyle w:val="SOPLevel2"/>
      </w:pPr>
      <w:r>
        <w:t xml:space="preserve">Consider whether any of the following additional actions are required to protect those or other </w:t>
      </w:r>
      <w:r w:rsidR="00B25B53">
        <w:t>subjects’ rights and welfare or to eliminate an apparent immediate hazard</w:t>
      </w:r>
      <w:r w:rsidR="000738B1">
        <w:t>:</w:t>
      </w:r>
    </w:p>
    <w:p w14:paraId="442B7D57" w14:textId="638A78C5" w:rsidR="004345B1" w:rsidRDefault="004345B1" w:rsidP="008F2841">
      <w:pPr>
        <w:pStyle w:val="SOPLevel3"/>
      </w:pPr>
      <w:r>
        <w:t xml:space="preserve">Ask the </w:t>
      </w:r>
      <w:r w:rsidR="00743463">
        <w:t xml:space="preserve">PI </w:t>
      </w:r>
      <w:r>
        <w:t>for a list of Human Subjects currently involved in the research.</w:t>
      </w:r>
    </w:p>
    <w:p w14:paraId="72DDFCB2" w14:textId="4FCB4539" w:rsidR="00A619FC" w:rsidRPr="008F2841" w:rsidRDefault="00A619FC" w:rsidP="008F2841">
      <w:pPr>
        <w:pStyle w:val="SOPLevel3"/>
      </w:pPr>
      <w:r>
        <w:t>Transferring subjects to another investigator.</w:t>
      </w:r>
    </w:p>
    <w:p w14:paraId="49342A54" w14:textId="77777777" w:rsidR="00A619FC" w:rsidRPr="008F2841" w:rsidRDefault="00A619FC" w:rsidP="008F2841">
      <w:pPr>
        <w:pStyle w:val="SOPLevel3"/>
      </w:pPr>
      <w:proofErr w:type="gramStart"/>
      <w:r>
        <w:t>Making arrangements</w:t>
      </w:r>
      <w:proofErr w:type="gramEnd"/>
      <w:r>
        <w:t xml:space="preserve"> for clinical care outside the research.</w:t>
      </w:r>
    </w:p>
    <w:p w14:paraId="7148C77B" w14:textId="73335789" w:rsidR="00A619FC" w:rsidRPr="008F2841" w:rsidRDefault="00A619FC" w:rsidP="008F2841">
      <w:pPr>
        <w:pStyle w:val="SOPLevel3"/>
      </w:pPr>
      <w:r>
        <w:lastRenderedPageBreak/>
        <w:t>Allowing continuation of some research activities</w:t>
      </w:r>
      <w:r w:rsidR="00740B14">
        <w:t xml:space="preserve"> that are necessary for the well-being of the subjects (e.g., continuing any intervention or investigational treatment, safety monitoring, etc.), or when appropriate have continuation provided</w:t>
      </w:r>
      <w:r>
        <w:t xml:space="preserve"> under the supervision of an</w:t>
      </w:r>
      <w:r w:rsidR="00740B14">
        <w:t>other investigator or overseen by an</w:t>
      </w:r>
      <w:r>
        <w:t xml:space="preserve"> independent monitor.</w:t>
      </w:r>
    </w:p>
    <w:p w14:paraId="1019BA44" w14:textId="77777777" w:rsidR="00A619FC" w:rsidRPr="008F2841" w:rsidRDefault="00A619FC" w:rsidP="008F2841">
      <w:pPr>
        <w:pStyle w:val="SOPLevel3"/>
      </w:pPr>
      <w:r>
        <w:t>Requiring or permitting follow-up of subjects for safety reasons.</w:t>
      </w:r>
    </w:p>
    <w:p w14:paraId="460B6A7D" w14:textId="77777777" w:rsidR="00A619FC" w:rsidRPr="008F2841" w:rsidRDefault="00A619FC" w:rsidP="008F2841">
      <w:pPr>
        <w:pStyle w:val="SOPLevel3"/>
      </w:pPr>
      <w:r>
        <w:t>Requiring adverse events or outcomes to be reported to the IRB and the sponsor.</w:t>
      </w:r>
    </w:p>
    <w:p w14:paraId="3F01288F" w14:textId="77777777" w:rsidR="00A619FC" w:rsidRPr="008F2841" w:rsidRDefault="00A619FC" w:rsidP="008F2841">
      <w:pPr>
        <w:pStyle w:val="SOPLevel3"/>
      </w:pPr>
      <w:r>
        <w:t xml:space="preserve">Notification to current </w:t>
      </w:r>
      <w:r w:rsidRPr="6807ED4A">
        <w:rPr>
          <w:u w:val="double"/>
        </w:rPr>
        <w:t>Human Subjects</w:t>
      </w:r>
      <w:r>
        <w:t>.</w:t>
      </w:r>
    </w:p>
    <w:p w14:paraId="2A7DC60D" w14:textId="77777777" w:rsidR="00A619FC" w:rsidRPr="008F2841" w:rsidRDefault="00A619FC" w:rsidP="008F2841">
      <w:pPr>
        <w:pStyle w:val="SOPLevel3"/>
      </w:pPr>
      <w:r>
        <w:t xml:space="preserve">Notification to former </w:t>
      </w:r>
      <w:r w:rsidRPr="6807ED4A">
        <w:rPr>
          <w:u w:val="double"/>
        </w:rPr>
        <w:t>Human Subjects</w:t>
      </w:r>
      <w:r>
        <w:t>.</w:t>
      </w:r>
    </w:p>
    <w:p w14:paraId="614F76E2" w14:textId="180E11E5" w:rsidR="00706FAE" w:rsidRDefault="00A619FC" w:rsidP="008F2841">
      <w:pPr>
        <w:pStyle w:val="SOPLevel2"/>
      </w:pPr>
      <w:r>
        <w:t xml:space="preserve">Refer to the IRB staff to place on the agenda for </w:t>
      </w:r>
      <w:r w:rsidR="004E3EA0">
        <w:t xml:space="preserve">the next </w:t>
      </w:r>
      <w:r>
        <w:t>a</w:t>
      </w:r>
      <w:r w:rsidR="004E3EA0">
        <w:t>vailable</w:t>
      </w:r>
      <w:r>
        <w:t xml:space="preserve"> convened IRB meeting in an IRB with appropriate scope as an item of </w:t>
      </w:r>
      <w:r w:rsidRPr="6807ED4A">
        <w:rPr>
          <w:u w:val="double"/>
        </w:rPr>
        <w:t>Suspension of IRB Approval</w:t>
      </w:r>
      <w:r>
        <w:t xml:space="preserve"> or </w:t>
      </w:r>
      <w:r w:rsidRPr="6807ED4A">
        <w:rPr>
          <w:u w:val="double"/>
        </w:rPr>
        <w:t>Termination of IRB Approval</w:t>
      </w:r>
      <w:r>
        <w:t xml:space="preserve">. </w:t>
      </w:r>
      <w:r w:rsidR="00706FAE">
        <w:t>Follow HRP-</w:t>
      </w:r>
      <w:r w:rsidR="004345B1">
        <w:t>041</w:t>
      </w:r>
      <w:r w:rsidR="00706FAE">
        <w:t xml:space="preserve"> -</w:t>
      </w:r>
      <w:r w:rsidR="00376F68">
        <w:t>SOP: IRB Meeting Conduct for convened IRB review of the item.</w:t>
      </w:r>
    </w:p>
    <w:p w14:paraId="6ED1442C" w14:textId="585194B9" w:rsidR="00743463" w:rsidRPr="00850C2D" w:rsidRDefault="00743463" w:rsidP="008F2841">
      <w:pPr>
        <w:pStyle w:val="SOPLevel2"/>
        <w:rPr>
          <w:rFonts w:cs="Arial"/>
        </w:rPr>
      </w:pPr>
      <w:r w:rsidRPr="00850C2D">
        <w:rPr>
          <w:rFonts w:cs="Arial"/>
        </w:rPr>
        <w:t>The determination to terminate study approval will be clearly documented in the convened IRB meeting minutes</w:t>
      </w:r>
      <w:r w:rsidR="00D76FA8" w:rsidRPr="6807ED4A">
        <w:rPr>
          <w:rFonts w:cs="Arial"/>
        </w:rPr>
        <w:t xml:space="preserve"> along with the reasons for the termination</w:t>
      </w:r>
      <w:r w:rsidRPr="00850C2D">
        <w:rPr>
          <w:rFonts w:cs="Arial"/>
        </w:rPr>
        <w:t>.</w:t>
      </w:r>
    </w:p>
    <w:p w14:paraId="03B56031" w14:textId="5247F6BB" w:rsidR="00A619FC" w:rsidRDefault="00A619FC" w:rsidP="008F2841">
      <w:pPr>
        <w:pStyle w:val="SOPLevel2"/>
      </w:pPr>
      <w:r>
        <w:t xml:space="preserve">Complete and send to the </w:t>
      </w:r>
      <w:r w:rsidR="00743463">
        <w:t>PI</w:t>
      </w:r>
      <w:r>
        <w:t xml:space="preserve"> a</w:t>
      </w:r>
      <w:r w:rsidR="5FB9199E">
        <w:t>n</w:t>
      </w:r>
      <w:r w:rsidR="00706FAE">
        <w:t xml:space="preserve"> HRP-515</w:t>
      </w:r>
      <w:r>
        <w:t xml:space="preserve"> LETTER</w:t>
      </w:r>
      <w:r w:rsidR="00412400">
        <w:t xml:space="preserve"> </w:t>
      </w:r>
      <w:r w:rsidR="00706FAE">
        <w:t>-</w:t>
      </w:r>
      <w:r>
        <w:t xml:space="preserve">Suspension or Termination </w:t>
      </w:r>
      <w:r w:rsidR="00D76FA8">
        <w:t xml:space="preserve">to include: </w:t>
      </w:r>
    </w:p>
    <w:p w14:paraId="3E56B40B" w14:textId="56EB5A5F" w:rsidR="00D76FA8" w:rsidRPr="00850C2D" w:rsidRDefault="00D76FA8" w:rsidP="00D76FA8">
      <w:pPr>
        <w:pStyle w:val="SOPLevel3"/>
        <w:rPr>
          <w:rFonts w:cs="Arial"/>
        </w:rPr>
      </w:pPr>
      <w:r w:rsidRPr="00850C2D">
        <w:rPr>
          <w:rFonts w:cs="Arial"/>
        </w:rPr>
        <w:t>The reason(s) for the suspension or termination.</w:t>
      </w:r>
    </w:p>
    <w:p w14:paraId="1DF6C967" w14:textId="23F330B2" w:rsidR="00D76FA8" w:rsidRPr="00D76FA8" w:rsidRDefault="00D76FA8" w:rsidP="00D76FA8">
      <w:pPr>
        <w:pStyle w:val="SOPLevel3"/>
        <w:rPr>
          <w:rFonts w:cs="Arial"/>
        </w:rPr>
      </w:pPr>
      <w:r w:rsidRPr="00850C2D">
        <w:rPr>
          <w:rFonts w:cs="Arial"/>
        </w:rPr>
        <w:t xml:space="preserve">The </w:t>
      </w:r>
      <w:r w:rsidRPr="00850C2D">
        <w:rPr>
          <w:rFonts w:cs="Arial"/>
          <w:color w:val="000000" w:themeColor="text1"/>
        </w:rPr>
        <w:t>effective date, notification of the sponsor (if applicable), any restrictions or further actions imposed by the IRB or institution (if applicable) and copying need-to-know officials</w:t>
      </w:r>
      <w:r w:rsidR="38466559" w:rsidRPr="6807ED4A">
        <w:rPr>
          <w:rFonts w:cs="Arial"/>
          <w:color w:val="000000" w:themeColor="text1"/>
        </w:rPr>
        <w:t>.</w:t>
      </w:r>
    </w:p>
    <w:p w14:paraId="52B93104" w14:textId="61A94632" w:rsidR="00D76FA8" w:rsidRPr="00850C2D" w:rsidRDefault="00D76FA8" w:rsidP="00850C2D">
      <w:pPr>
        <w:pStyle w:val="SOPLevel3"/>
        <w:rPr>
          <w:rFonts w:cs="Arial"/>
        </w:rPr>
      </w:pPr>
      <w:r w:rsidRPr="00850C2D">
        <w:rPr>
          <w:rFonts w:cs="Arial"/>
          <w:color w:val="000000" w:themeColor="text1"/>
        </w:rPr>
        <w:t xml:space="preserve">Notice that the investigator may make an appeal. </w:t>
      </w:r>
      <w:r w:rsidRPr="00850C2D">
        <w:rPr>
          <w:rFonts w:cs="Arial"/>
        </w:rPr>
        <w:t>An appeal will be considered by the convened IRB.</w:t>
      </w:r>
    </w:p>
    <w:p w14:paraId="2A17BDFC" w14:textId="77777777" w:rsidR="00412400" w:rsidRPr="008F2841" w:rsidRDefault="00412400" w:rsidP="008F2841">
      <w:pPr>
        <w:pStyle w:val="SOPLevel2"/>
        <w:numPr>
          <w:ilvl w:val="0"/>
          <w:numId w:val="0"/>
        </w:numPr>
        <w:ind w:left="936"/>
      </w:pPr>
    </w:p>
    <w:p w14:paraId="6037DAA4" w14:textId="77777777" w:rsidR="00A619FC" w:rsidRPr="008F2841" w:rsidRDefault="00A619FC" w:rsidP="008F2841">
      <w:pPr>
        <w:pStyle w:val="SOPLevel1"/>
        <w:spacing w:before="120" w:after="120"/>
      </w:pPr>
      <w:r>
        <w:t>MATERIALS</w:t>
      </w:r>
    </w:p>
    <w:p w14:paraId="21C7EEB9" w14:textId="77777777" w:rsidR="00376F68" w:rsidRPr="008F2841" w:rsidRDefault="00376F68" w:rsidP="008F2841">
      <w:pPr>
        <w:pStyle w:val="SOPLevel2"/>
        <w:rPr>
          <w:b/>
          <w:bCs/>
        </w:rPr>
      </w:pPr>
      <w:r>
        <w:t>SOP: IRB Meeting Conduct (HRP-041)</w:t>
      </w:r>
    </w:p>
    <w:p w14:paraId="59CBB12D" w14:textId="7BAE1A9C" w:rsidR="00A619FC" w:rsidRPr="008F2841" w:rsidRDefault="00A619FC" w:rsidP="008F2841">
      <w:pPr>
        <w:pStyle w:val="SOPLevel2"/>
        <w:rPr>
          <w:b/>
          <w:bCs/>
        </w:rPr>
      </w:pPr>
      <w:r>
        <w:t>TEMPLATE LETTER: Suspension or Termination (HRP-515)</w:t>
      </w:r>
      <w:r w:rsidR="000A0D6F">
        <w:t xml:space="preserve"> in </w:t>
      </w:r>
      <w:proofErr w:type="spellStart"/>
      <w:r w:rsidR="000A0D6F">
        <w:t>eIRB</w:t>
      </w:r>
      <w:proofErr w:type="spellEnd"/>
    </w:p>
    <w:p w14:paraId="7658DEE4" w14:textId="77777777" w:rsidR="00A619FC" w:rsidRPr="008F2841" w:rsidRDefault="00A619FC" w:rsidP="008F2841">
      <w:pPr>
        <w:pStyle w:val="SOPLevel1"/>
        <w:spacing w:before="120" w:after="120"/>
      </w:pPr>
      <w:r>
        <w:t>REFERENCES</w:t>
      </w:r>
    </w:p>
    <w:p w14:paraId="4018F1AF" w14:textId="0CA2B2C7" w:rsidR="00124CBD" w:rsidRDefault="00A619FC" w:rsidP="00124CBD">
      <w:pPr>
        <w:pStyle w:val="SOPLevel2"/>
      </w:pPr>
      <w:r>
        <w:t>21 CFR §56.108(b)(3), 21 CFR §56.113</w:t>
      </w:r>
    </w:p>
    <w:p w14:paraId="228A30E6" w14:textId="7303433A" w:rsidR="00A619FC" w:rsidRPr="008F2841" w:rsidRDefault="00A619FC" w:rsidP="00124CBD">
      <w:pPr>
        <w:pStyle w:val="SOPLevel2"/>
      </w:pPr>
      <w:r>
        <w:t>45 CFR §46.103(b)(5)(ii), 45 CFR §46.108(a), 45 CFR §46.113</w:t>
      </w:r>
    </w:p>
    <w:p w14:paraId="2A82A440" w14:textId="7A917DA1" w:rsidR="00166393" w:rsidRPr="008F2841" w:rsidRDefault="00166393" w:rsidP="008F2841">
      <w:pPr>
        <w:pStyle w:val="SOPLevel2"/>
        <w:numPr>
          <w:ilvl w:val="0"/>
          <w:numId w:val="0"/>
        </w:numPr>
        <w:ind w:left="936"/>
      </w:pPr>
    </w:p>
    <w:p w14:paraId="70E3E3AB" w14:textId="77777777" w:rsidR="00831194" w:rsidRPr="008F2841" w:rsidRDefault="00831194" w:rsidP="008F2841">
      <w:pPr>
        <w:spacing w:line="240" w:lineRule="auto"/>
      </w:pPr>
    </w:p>
    <w:sectPr w:rsidR="00831194" w:rsidRPr="008F2841" w:rsidSect="00124CBD">
      <w:head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53A9" w14:textId="77777777" w:rsidR="004F21F3" w:rsidRDefault="004F21F3">
      <w:pPr>
        <w:spacing w:after="0" w:line="240" w:lineRule="auto"/>
      </w:pPr>
      <w:r>
        <w:separator/>
      </w:r>
    </w:p>
  </w:endnote>
  <w:endnote w:type="continuationSeparator" w:id="0">
    <w:p w14:paraId="2AC06F76" w14:textId="77777777" w:rsidR="004F21F3" w:rsidRDefault="004F21F3">
      <w:pPr>
        <w:spacing w:after="0" w:line="240" w:lineRule="auto"/>
      </w:pPr>
      <w:r>
        <w:continuationSeparator/>
      </w:r>
    </w:p>
  </w:endnote>
  <w:endnote w:type="continuationNotice" w:id="1">
    <w:p w14:paraId="6F82770E" w14:textId="77777777" w:rsidR="004F21F3" w:rsidRDefault="004F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F304" w14:textId="77777777" w:rsidR="004F21F3" w:rsidRDefault="004F21F3">
      <w:pPr>
        <w:spacing w:after="0" w:line="240" w:lineRule="auto"/>
      </w:pPr>
      <w:r>
        <w:separator/>
      </w:r>
    </w:p>
  </w:footnote>
  <w:footnote w:type="continuationSeparator" w:id="0">
    <w:p w14:paraId="76693E67" w14:textId="77777777" w:rsidR="004F21F3" w:rsidRDefault="004F21F3">
      <w:pPr>
        <w:spacing w:after="0" w:line="240" w:lineRule="auto"/>
      </w:pPr>
      <w:r>
        <w:continuationSeparator/>
      </w:r>
    </w:p>
  </w:footnote>
  <w:footnote w:type="continuationNotice" w:id="1">
    <w:p w14:paraId="175E08E9" w14:textId="77777777" w:rsidR="004F21F3" w:rsidRDefault="004F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2398"/>
      <w:gridCol w:w="2218"/>
      <w:gridCol w:w="2219"/>
    </w:tblGrid>
    <w:tr w:rsidR="008F2841" w:rsidRPr="008F2841" w14:paraId="1D1F0F39" w14:textId="77777777" w:rsidTr="6807ED4A">
      <w:trPr>
        <w:cantSplit/>
        <w:trHeight w:val="620"/>
      </w:trPr>
      <w:tc>
        <w:tcPr>
          <w:tcW w:w="25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27AA45E" w14:textId="77777777" w:rsidR="008F2841" w:rsidRPr="008F2841" w:rsidRDefault="6807ED4A" w:rsidP="008F28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0158BA" wp14:editId="01BDA47E">
                <wp:extent cx="1343025" cy="470058"/>
                <wp:effectExtent l="0" t="0" r="0" b="6350"/>
                <wp:docPr id="3" name="Picture 3" descr="File:Rutgers University with the state university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70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60085F0" w14:textId="67DC3228" w:rsidR="008F2841" w:rsidRPr="00124CBD" w:rsidRDefault="008F2841" w:rsidP="008F284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0"/>
            </w:rPr>
          </w:pPr>
          <w:r w:rsidRPr="00124CBD">
            <w:rPr>
              <w:rFonts w:ascii="Arial" w:eastAsia="Times New Roman" w:hAnsi="Arial" w:cs="Arial"/>
              <w:b/>
              <w:sz w:val="24"/>
              <w:szCs w:val="20"/>
            </w:rPr>
            <w:t xml:space="preserve">SOP: </w:t>
          </w:r>
          <w:r w:rsidRPr="005A579B">
            <w:rPr>
              <w:rFonts w:ascii="Arial" w:eastAsia="Times New Roman" w:hAnsi="Arial" w:cs="Arial"/>
              <w:b/>
              <w:sz w:val="24"/>
              <w:szCs w:val="20"/>
            </w:rPr>
            <w:t>Suspension or Termination Issued Outside of Convened IRB</w:t>
          </w:r>
        </w:p>
      </w:tc>
    </w:tr>
    <w:tr w:rsidR="008F2841" w:rsidRPr="008F2841" w14:paraId="1BA9FFF9" w14:textId="77777777" w:rsidTr="6807ED4A">
      <w:trPr>
        <w:cantSplit/>
        <w:trHeight w:val="350"/>
      </w:trPr>
      <w:tc>
        <w:tcPr>
          <w:tcW w:w="2520" w:type="dxa"/>
          <w:vMerge/>
        </w:tcPr>
        <w:p w14:paraId="4B97B8AD" w14:textId="77777777" w:rsidR="008F2841" w:rsidRPr="008F2841" w:rsidRDefault="008F2841" w:rsidP="008F284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949CD1" w14:textId="77777777" w:rsidR="008F2841" w:rsidRPr="008F2841" w:rsidRDefault="008F2841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8F2841">
            <w:rPr>
              <w:rFonts w:ascii="Arial" w:eastAsia="Times New Roman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2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50BAD7" w14:textId="77777777" w:rsidR="008F2841" w:rsidRPr="008F2841" w:rsidRDefault="008F2841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8F2841">
            <w:rPr>
              <w:rFonts w:ascii="Arial" w:eastAsia="Times New Roman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1CBDCB" w14:textId="77777777" w:rsidR="008F2841" w:rsidRPr="008F2841" w:rsidRDefault="008F2841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8F2841">
            <w:rPr>
              <w:rFonts w:ascii="Arial" w:eastAsia="Times New Roman" w:hAnsi="Arial" w:cs="Arial"/>
              <w:b/>
              <w:bCs/>
              <w:sz w:val="18"/>
              <w:szCs w:val="18"/>
            </w:rPr>
            <w:t>PAGE</w:t>
          </w:r>
        </w:p>
      </w:tc>
    </w:tr>
    <w:tr w:rsidR="008F2841" w:rsidRPr="008F2841" w14:paraId="2184A02B" w14:textId="77777777" w:rsidTr="6807ED4A">
      <w:trPr>
        <w:cantSplit/>
        <w:trHeight w:val="195"/>
      </w:trPr>
      <w:tc>
        <w:tcPr>
          <w:tcW w:w="2520" w:type="dxa"/>
          <w:vMerge/>
        </w:tcPr>
        <w:p w14:paraId="63CDA429" w14:textId="77777777" w:rsidR="008F2841" w:rsidRPr="008F2841" w:rsidRDefault="008F2841" w:rsidP="008F284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F9548" w14:textId="3B174BC5" w:rsidR="008F2841" w:rsidRPr="008F2841" w:rsidRDefault="008F2841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8F2841">
            <w:rPr>
              <w:rFonts w:ascii="Arial" w:eastAsia="Arial" w:hAnsi="Arial" w:cs="Arial"/>
              <w:sz w:val="18"/>
              <w:lang w:bidi="en-US"/>
            </w:rPr>
            <w:t>HRP-</w:t>
          </w:r>
          <w:r>
            <w:rPr>
              <w:rFonts w:ascii="Arial" w:eastAsia="Arial" w:hAnsi="Arial" w:cs="Arial"/>
              <w:sz w:val="18"/>
              <w:lang w:bidi="en-US"/>
            </w:rPr>
            <w:t>026</w:t>
          </w:r>
        </w:p>
      </w:tc>
      <w:tc>
        <w:tcPr>
          <w:tcW w:w="22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AEC392" w14:textId="185D3187" w:rsidR="008F2841" w:rsidRPr="008F2841" w:rsidRDefault="00850C2D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rFonts w:ascii="Arial" w:eastAsia="Arial" w:hAnsi="Arial" w:cs="Arial"/>
              <w:sz w:val="18"/>
              <w:lang w:bidi="en-US"/>
            </w:rPr>
            <w:t>6/15/2021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919EC4" w14:textId="7471ABB5" w:rsidR="008F2841" w:rsidRPr="008F2841" w:rsidRDefault="008F2841" w:rsidP="008F284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begin"/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instrText xml:space="preserve"> PAGE </w:instrText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separate"/>
          </w:r>
          <w:r w:rsidR="00C80C6D">
            <w:rPr>
              <w:rFonts w:ascii="Arial" w:eastAsia="Times New Roman" w:hAnsi="Arial" w:cs="Arial"/>
              <w:noProof/>
              <w:sz w:val="18"/>
              <w:szCs w:val="20"/>
            </w:rPr>
            <w:t>1</w:t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end"/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t xml:space="preserve"> of </w:t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begin"/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instrText xml:space="preserve"> NUMPAGES </w:instrText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separate"/>
          </w:r>
          <w:r w:rsidR="00C80C6D">
            <w:rPr>
              <w:rFonts w:ascii="Arial" w:eastAsia="Times New Roman" w:hAnsi="Arial" w:cs="Arial"/>
              <w:noProof/>
              <w:sz w:val="18"/>
              <w:szCs w:val="20"/>
            </w:rPr>
            <w:t>1</w:t>
          </w:r>
          <w:r w:rsidRPr="008F2841">
            <w:rPr>
              <w:rFonts w:ascii="Arial" w:eastAsia="Times New Roman" w:hAnsi="Arial" w:cs="Arial"/>
              <w:sz w:val="18"/>
              <w:szCs w:val="20"/>
            </w:rPr>
            <w:fldChar w:fldCharType="end"/>
          </w:r>
        </w:p>
      </w:tc>
    </w:tr>
  </w:tbl>
  <w:p w14:paraId="545F3499" w14:textId="23E74379" w:rsidR="00DE509B" w:rsidRPr="007A2BC4" w:rsidRDefault="004F21F3" w:rsidP="00D15443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D5A"/>
    <w:multiLevelType w:val="hybridMultilevel"/>
    <w:tmpl w:val="B9963D38"/>
    <w:lvl w:ilvl="0" w:tplc="1C8ECDBA">
      <w:numFmt w:val="none"/>
      <w:lvlText w:val=""/>
      <w:lvlJc w:val="left"/>
      <w:pPr>
        <w:tabs>
          <w:tab w:val="num" w:pos="360"/>
        </w:tabs>
      </w:pPr>
    </w:lvl>
    <w:lvl w:ilvl="1" w:tplc="CFD6EE56">
      <w:start w:val="1"/>
      <w:numFmt w:val="lowerLetter"/>
      <w:lvlText w:val="%2."/>
      <w:lvlJc w:val="left"/>
      <w:pPr>
        <w:ind w:left="1440" w:hanging="360"/>
      </w:pPr>
    </w:lvl>
    <w:lvl w:ilvl="2" w:tplc="DB1EC226">
      <w:start w:val="1"/>
      <w:numFmt w:val="lowerRoman"/>
      <w:lvlText w:val="%3."/>
      <w:lvlJc w:val="right"/>
      <w:pPr>
        <w:ind w:left="2160" w:hanging="180"/>
      </w:pPr>
    </w:lvl>
    <w:lvl w:ilvl="3" w:tplc="DC66B4E4">
      <w:start w:val="1"/>
      <w:numFmt w:val="decimal"/>
      <w:lvlText w:val="%4."/>
      <w:lvlJc w:val="left"/>
      <w:pPr>
        <w:ind w:left="2880" w:hanging="360"/>
      </w:pPr>
    </w:lvl>
    <w:lvl w:ilvl="4" w:tplc="2A7887A0">
      <w:start w:val="1"/>
      <w:numFmt w:val="lowerLetter"/>
      <w:lvlText w:val="%5."/>
      <w:lvlJc w:val="left"/>
      <w:pPr>
        <w:ind w:left="3600" w:hanging="360"/>
      </w:pPr>
    </w:lvl>
    <w:lvl w:ilvl="5" w:tplc="A6E29FBA">
      <w:start w:val="1"/>
      <w:numFmt w:val="lowerRoman"/>
      <w:lvlText w:val="%6."/>
      <w:lvlJc w:val="right"/>
      <w:pPr>
        <w:ind w:left="4320" w:hanging="180"/>
      </w:pPr>
    </w:lvl>
    <w:lvl w:ilvl="6" w:tplc="133C3DFC">
      <w:start w:val="1"/>
      <w:numFmt w:val="decimal"/>
      <w:lvlText w:val="%7."/>
      <w:lvlJc w:val="left"/>
      <w:pPr>
        <w:ind w:left="5040" w:hanging="360"/>
      </w:pPr>
    </w:lvl>
    <w:lvl w:ilvl="7" w:tplc="36CCA69E">
      <w:start w:val="1"/>
      <w:numFmt w:val="lowerLetter"/>
      <w:lvlText w:val="%8."/>
      <w:lvlJc w:val="left"/>
      <w:pPr>
        <w:ind w:left="5760" w:hanging="360"/>
      </w:pPr>
    </w:lvl>
    <w:lvl w:ilvl="8" w:tplc="83BE6E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FC"/>
    <w:rsid w:val="00050D6F"/>
    <w:rsid w:val="000738B1"/>
    <w:rsid w:val="000864B8"/>
    <w:rsid w:val="00094B78"/>
    <w:rsid w:val="000A0D6F"/>
    <w:rsid w:val="000C67A1"/>
    <w:rsid w:val="000F31EB"/>
    <w:rsid w:val="00124CBD"/>
    <w:rsid w:val="00141921"/>
    <w:rsid w:val="00153E22"/>
    <w:rsid w:val="00156A9A"/>
    <w:rsid w:val="00163D1C"/>
    <w:rsid w:val="00166393"/>
    <w:rsid w:val="001C0422"/>
    <w:rsid w:val="001C46D3"/>
    <w:rsid w:val="001C75F3"/>
    <w:rsid w:val="0020135C"/>
    <w:rsid w:val="0020226F"/>
    <w:rsid w:val="00203CA9"/>
    <w:rsid w:val="002208CF"/>
    <w:rsid w:val="002368BB"/>
    <w:rsid w:val="00277620"/>
    <w:rsid w:val="00293A1F"/>
    <w:rsid w:val="00302A35"/>
    <w:rsid w:val="00304BFD"/>
    <w:rsid w:val="003149AF"/>
    <w:rsid w:val="00376F68"/>
    <w:rsid w:val="00381C4F"/>
    <w:rsid w:val="003D0BF6"/>
    <w:rsid w:val="003E3FDC"/>
    <w:rsid w:val="00412400"/>
    <w:rsid w:val="004345B1"/>
    <w:rsid w:val="00443407"/>
    <w:rsid w:val="00450689"/>
    <w:rsid w:val="00460E7B"/>
    <w:rsid w:val="00484754"/>
    <w:rsid w:val="004D0CCC"/>
    <w:rsid w:val="004E3EA0"/>
    <w:rsid w:val="004F21F3"/>
    <w:rsid w:val="00543FB3"/>
    <w:rsid w:val="00565D07"/>
    <w:rsid w:val="005847E2"/>
    <w:rsid w:val="005A579B"/>
    <w:rsid w:val="005B087A"/>
    <w:rsid w:val="005D7216"/>
    <w:rsid w:val="0061037C"/>
    <w:rsid w:val="00637E54"/>
    <w:rsid w:val="00666169"/>
    <w:rsid w:val="00682820"/>
    <w:rsid w:val="006B1FB2"/>
    <w:rsid w:val="006E05CA"/>
    <w:rsid w:val="00706FAE"/>
    <w:rsid w:val="007175FA"/>
    <w:rsid w:val="00740B14"/>
    <w:rsid w:val="00743463"/>
    <w:rsid w:val="00761953"/>
    <w:rsid w:val="00766597"/>
    <w:rsid w:val="007A1285"/>
    <w:rsid w:val="007E4E77"/>
    <w:rsid w:val="00803306"/>
    <w:rsid w:val="00806176"/>
    <w:rsid w:val="00831194"/>
    <w:rsid w:val="00850C2D"/>
    <w:rsid w:val="008675F3"/>
    <w:rsid w:val="00890013"/>
    <w:rsid w:val="00891CBB"/>
    <w:rsid w:val="008F2841"/>
    <w:rsid w:val="009029D1"/>
    <w:rsid w:val="0091575E"/>
    <w:rsid w:val="009A1D1B"/>
    <w:rsid w:val="009B4145"/>
    <w:rsid w:val="009B6DF5"/>
    <w:rsid w:val="009E14E4"/>
    <w:rsid w:val="009F6170"/>
    <w:rsid w:val="009F7358"/>
    <w:rsid w:val="00A01173"/>
    <w:rsid w:val="00A33AC1"/>
    <w:rsid w:val="00A619FC"/>
    <w:rsid w:val="00A74EDF"/>
    <w:rsid w:val="00AA1067"/>
    <w:rsid w:val="00AC65BD"/>
    <w:rsid w:val="00B20A0B"/>
    <w:rsid w:val="00B20CE9"/>
    <w:rsid w:val="00B25B53"/>
    <w:rsid w:val="00B47942"/>
    <w:rsid w:val="00BF6260"/>
    <w:rsid w:val="00C442CB"/>
    <w:rsid w:val="00C64E03"/>
    <w:rsid w:val="00C80C6D"/>
    <w:rsid w:val="00C93C14"/>
    <w:rsid w:val="00CD5C5A"/>
    <w:rsid w:val="00CF5D7B"/>
    <w:rsid w:val="00D15443"/>
    <w:rsid w:val="00D318EA"/>
    <w:rsid w:val="00D76FA8"/>
    <w:rsid w:val="00E14A5C"/>
    <w:rsid w:val="00E40C9D"/>
    <w:rsid w:val="00E63B1D"/>
    <w:rsid w:val="00E92E41"/>
    <w:rsid w:val="00EB5CD8"/>
    <w:rsid w:val="00F45F12"/>
    <w:rsid w:val="00F62E8A"/>
    <w:rsid w:val="00F678CF"/>
    <w:rsid w:val="029F15C0"/>
    <w:rsid w:val="05CA8763"/>
    <w:rsid w:val="066D052B"/>
    <w:rsid w:val="06E8F6C8"/>
    <w:rsid w:val="0FB87EE0"/>
    <w:rsid w:val="1051043A"/>
    <w:rsid w:val="11AFB7D2"/>
    <w:rsid w:val="11C5B0F9"/>
    <w:rsid w:val="15C49FD2"/>
    <w:rsid w:val="168328F5"/>
    <w:rsid w:val="1873CCB3"/>
    <w:rsid w:val="1E962860"/>
    <w:rsid w:val="23168EEB"/>
    <w:rsid w:val="23699983"/>
    <w:rsid w:val="236A12B3"/>
    <w:rsid w:val="26F5D390"/>
    <w:rsid w:val="26FD03EE"/>
    <w:rsid w:val="27105C23"/>
    <w:rsid w:val="27AE2666"/>
    <w:rsid w:val="283D0AA6"/>
    <w:rsid w:val="28459941"/>
    <w:rsid w:val="2DEB165F"/>
    <w:rsid w:val="2F2C151C"/>
    <w:rsid w:val="2F3D4829"/>
    <w:rsid w:val="30660C47"/>
    <w:rsid w:val="36A62338"/>
    <w:rsid w:val="38466559"/>
    <w:rsid w:val="3A341E10"/>
    <w:rsid w:val="3B9B4B53"/>
    <w:rsid w:val="3D1564BC"/>
    <w:rsid w:val="3E17CC4C"/>
    <w:rsid w:val="3FDB3592"/>
    <w:rsid w:val="423E261B"/>
    <w:rsid w:val="42D4AB4C"/>
    <w:rsid w:val="460C4C0E"/>
    <w:rsid w:val="4A9914E3"/>
    <w:rsid w:val="4B17D9FF"/>
    <w:rsid w:val="4C4841B4"/>
    <w:rsid w:val="4D06772A"/>
    <w:rsid w:val="503C2278"/>
    <w:rsid w:val="528AC69C"/>
    <w:rsid w:val="54C64429"/>
    <w:rsid w:val="55161CFB"/>
    <w:rsid w:val="56E2E6ED"/>
    <w:rsid w:val="587EB74E"/>
    <w:rsid w:val="5DB013F1"/>
    <w:rsid w:val="5F1009D9"/>
    <w:rsid w:val="5FB9199E"/>
    <w:rsid w:val="60357DE5"/>
    <w:rsid w:val="6138F1F2"/>
    <w:rsid w:val="642ABC31"/>
    <w:rsid w:val="650744B2"/>
    <w:rsid w:val="65662300"/>
    <w:rsid w:val="671B1BBE"/>
    <w:rsid w:val="6807ED4A"/>
    <w:rsid w:val="6A7D5C22"/>
    <w:rsid w:val="6CADA235"/>
    <w:rsid w:val="6CC139F1"/>
    <w:rsid w:val="6F953DB8"/>
    <w:rsid w:val="76CC1421"/>
    <w:rsid w:val="7726F09D"/>
    <w:rsid w:val="7B3B8D5A"/>
    <w:rsid w:val="7D9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A619FC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A619F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A619FC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A619FC"/>
    <w:rPr>
      <w:color w:val="0000FF"/>
      <w:u w:val="single"/>
    </w:rPr>
  </w:style>
  <w:style w:type="paragraph" w:customStyle="1" w:styleId="SOPTableHeader">
    <w:name w:val="SOP Table Header"/>
    <w:basedOn w:val="Normal"/>
    <w:rsid w:val="00A619FC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A619FC"/>
    <w:rPr>
      <w:sz w:val="18"/>
    </w:rPr>
  </w:style>
  <w:style w:type="paragraph" w:customStyle="1" w:styleId="SOPLevel1">
    <w:name w:val="SOP Level 1"/>
    <w:basedOn w:val="Normal"/>
    <w:rsid w:val="00A619FC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A619FC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A619FC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A619FC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A619FC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A619FC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E4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9D"/>
  </w:style>
  <w:style w:type="paragraph" w:styleId="Footer">
    <w:name w:val="footer"/>
    <w:basedOn w:val="Normal"/>
    <w:link w:val="FooterChar"/>
    <w:uiPriority w:val="99"/>
    <w:unhideWhenUsed/>
    <w:rsid w:val="00E4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9D"/>
  </w:style>
  <w:style w:type="paragraph" w:styleId="BalloonText">
    <w:name w:val="Balloon Text"/>
    <w:basedOn w:val="Normal"/>
    <w:link w:val="BalloonTextChar"/>
    <w:uiPriority w:val="99"/>
    <w:semiHidden/>
    <w:unhideWhenUsed/>
    <w:rsid w:val="009B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7DB11-1439-4BA1-BC46-014AA0C1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53EF9-1452-49AC-BFFC-4F4367DFEF96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C605F693-FEF6-4C93-BB29-2F2EB6943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Manager/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2021-07-01T12:43:00Z</dcterms:created>
  <dcterms:modified xsi:type="dcterms:W3CDTF">2021-07-01T12:43:00Z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